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ind w:left="0" w:hanging="2"/>
        <w:rPr>
          <w:rFonts w:ascii="Calibri" w:cs="Calibri" w:eastAsia="Calibri" w:hAnsi="Calibri"/>
          <w:b w:val="1"/>
          <w:bCs w:val="1"/>
          <w:i w:val="1"/>
          <w:iCs w:val="1"/>
          <w:color w:val="000000"/>
          <w:sz w:val="24"/>
          <w:szCs w:val="24"/>
        </w:rPr>
      </w:pPr>
      <w:bookmarkStart w:colFirst="0" w:colLast="0" w:name="_heading=h.mokb9bsqj4uw" w:id="0"/>
      <w:bookmarkEnd w:id="0"/>
      <w:r w:rsidDel="00000000" w:rsidR="00000000" w:rsidRPr="00000000">
        <w:rPr>
          <w:rFonts w:ascii="Calibri" w:cs="Calibri" w:eastAsia="Calibri" w:hAnsi="Calibri"/>
          <w:b w:val="1"/>
          <w:bCs w:val="1"/>
          <w:color w:val="000000"/>
          <w:sz w:val="22"/>
          <w:szCs w:val="22"/>
          <w:rtl w:val="0"/>
        </w:rPr>
        <w:t xml:space="preserve">ALLEGATO B</w:t>
      </w:r>
      <w:r w:rsidDel="00000000" w:rsidR="00000000" w:rsidRPr="00000000">
        <w:rPr>
          <w:rFonts w:ascii="Calibri" w:cs="Calibri" w:eastAsia="Calibri" w:hAnsi="Calibri"/>
          <w:b w:val="1"/>
          <w:bCs w:val="1"/>
          <w:i w:val="1"/>
          <w:iCs w:val="1"/>
          <w:color w:val="000000"/>
          <w:sz w:val="24"/>
          <w:szCs w:val="24"/>
          <w:rtl w:val="0"/>
        </w:rPr>
        <w:t xml:space="preserve"> </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b w:val="1"/>
          <w:bCs w:val="1"/>
          <w:i w:val="1"/>
          <w:iCs w:val="1"/>
          <w:color w:val="000000"/>
          <w:sz w:val="24"/>
          <w:szCs w:val="24"/>
        </w:rPr>
      </w:pPr>
      <w:r w:rsidDel="00000000" w:rsidR="00000000" w:rsidRPr="00000000">
        <w:rPr>
          <w:rFonts w:ascii="Calibri" w:cs="Calibri" w:eastAsia="Calibri" w:hAnsi="Calibri"/>
          <w:b w:val="1"/>
          <w:bCs w:val="1"/>
          <w:i w:val="1"/>
          <w:iCs w:val="1"/>
          <w:color w:val="000000"/>
          <w:sz w:val="24"/>
          <w:szCs w:val="24"/>
          <w:rtl w:val="0"/>
        </w:rPr>
        <w:t xml:space="preserve">DICHIARAZIONE DI INSUSSISTENZA CAUSE DI INCOMPATIBILITA’ </w:t>
      </w:r>
      <w:r w:rsidDel="00000000" w:rsidR="00000000" w:rsidRPr="00000000">
        <w:rPr>
          <w:rFonts w:ascii="Calibri" w:cs="Calibri" w:eastAsia="Calibri" w:hAnsi="Calibri"/>
          <w:b w:val="1"/>
          <w:bCs w:val="1"/>
          <w:i w:val="1"/>
          <w:iCs w:val="1"/>
          <w:sz w:val="24"/>
          <w:szCs w:val="24"/>
          <w:rtl w:val="0"/>
        </w:rPr>
        <w:t xml:space="preserve">a </w:t>
      </w:r>
      <w:r w:rsidDel="00000000" w:rsidR="00000000" w:rsidRPr="00000000">
        <w:rPr>
          <w:rFonts w:ascii="Calibri" w:cs="Calibri" w:eastAsia="Calibri" w:hAnsi="Calibri"/>
          <w:b w:val="1"/>
          <w:bCs w:val="1"/>
          <w:i w:val="1"/>
          <w:iCs w:val="1"/>
          <w:color w:val="000000"/>
          <w:sz w:val="24"/>
          <w:szCs w:val="24"/>
          <w:rtl w:val="0"/>
        </w:rPr>
        <w:t xml:space="preserve"> valere su:</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ind w:left="1" w:hanging="3"/>
        <w:rPr>
          <w:rFonts w:ascii="Calibri" w:cs="Calibri" w:eastAsia="Calibri" w:hAnsi="Calibri"/>
          <w:b w:val="1"/>
          <w:bCs w:val="1"/>
          <w:i w:val="1"/>
          <w:iCs w:val="1"/>
          <w:sz w:val="28"/>
          <w:szCs w:val="28"/>
        </w:rPr>
      </w:pPr>
      <w:r w:rsidDel="00000000" w:rsidR="00000000" w:rsidRPr="00000000">
        <w:rPr>
          <w:rtl w:val="0"/>
        </w:rPr>
      </w:r>
    </w:p>
    <w:p w:rsidR="00000000" w:rsidDel="00000000" w:rsidP="00000000" w:rsidRDefault="00000000" w:rsidRPr="00000000" w14:paraId="00000004">
      <w:pPr>
        <w:widowControl w:val="0"/>
        <w:numPr>
          <w:ilvl w:val="0"/>
          <w:numId w:val="1"/>
        </w:numPr>
        <w:tabs>
          <w:tab w:val="left" w:leader="none" w:pos="1733"/>
        </w:tabs>
        <w:ind w:right="284" w:hanging="285"/>
        <w:jc w:val="both"/>
        <w:rPr>
          <w:sz w:val="22"/>
          <w:szCs w:val="22"/>
        </w:rPr>
      </w:pPr>
      <w:r w:rsidDel="00000000" w:rsidR="00000000" w:rsidRPr="00000000">
        <w:rPr>
          <w:sz w:val="22"/>
          <w:szCs w:val="22"/>
          <w:rtl w:val="0"/>
        </w:rPr>
        <w:t xml:space="preserve">Fondi Strutturali Europei – Programma Nazionale “Scuola e competenze” 2021-2027 – Fondo sociale  europeo  plus  (FSE+)  –  Priorità  1  –  Scuola  e  competenze  (FSE+),  Obiettivo  specifico ESO4.6  –  sotto-azione ESO4.6.A.4.A - Interventi di cui ai decreti n. 72 dell’11/04/2024 e n.96 del 22/5/2025  del Ministro dell’Istruzione e del Merito – Avviso Pubblico prot. n. 81652 del 23/05/2025 - Percorsi educativi e formativi per il potenziamento delle competenze, l’inclusione e la socialità nel periodo di sospensione estiva delle lezioni (c.d. Piano Estate) </w:t>
      </w:r>
      <w:r w:rsidDel="00000000" w:rsidR="00000000" w:rsidRPr="00000000">
        <w:rPr>
          <w:rtl w:val="0"/>
        </w:rPr>
      </w:r>
    </w:p>
    <w:p w:rsidR="00000000" w:rsidDel="00000000" w:rsidP="00000000" w:rsidRDefault="00000000" w:rsidRPr="00000000" w14:paraId="00000005">
      <w:pPr>
        <w:ind w:hanging="2"/>
        <w:jc w:val="both"/>
        <w:rPr>
          <w:b w:val="1"/>
          <w:bCs w:val="1"/>
          <w:smallCaps w:val="1"/>
          <w:sz w:val="22"/>
          <w:szCs w:val="22"/>
        </w:rPr>
      </w:pPr>
      <w:r w:rsidDel="00000000" w:rsidR="00000000" w:rsidRPr="00000000">
        <w:rPr>
          <w:b w:val="1"/>
          <w:bCs w:val="1"/>
          <w:sz w:val="22"/>
          <w:szCs w:val="22"/>
          <w:rtl w:val="0"/>
        </w:rPr>
        <w:t xml:space="preserve">Titolo del Progetto: Le variegate sfaccettature della realtà</w:t>
      </w:r>
      <w:r w:rsidDel="00000000" w:rsidR="00000000" w:rsidRPr="00000000">
        <w:rPr>
          <w:rtl w:val="0"/>
        </w:rPr>
      </w:r>
    </w:p>
    <w:p w:rsidR="00000000" w:rsidDel="00000000" w:rsidP="00000000" w:rsidRDefault="00000000" w:rsidRPr="00000000" w14:paraId="00000006">
      <w:pPr>
        <w:spacing w:before="12" w:lineRule="auto"/>
        <w:ind w:firstLine="0"/>
        <w:rPr>
          <w:b w:val="1"/>
          <w:bCs w:val="1"/>
          <w:i w:val="1"/>
          <w:iCs w:val="1"/>
          <w:sz w:val="22"/>
          <w:szCs w:val="22"/>
          <w:highlight w:val="white"/>
        </w:rPr>
      </w:pPr>
      <w:r w:rsidDel="00000000" w:rsidR="00000000" w:rsidRPr="00000000">
        <w:rPr>
          <w:b w:val="1"/>
          <w:bCs w:val="1"/>
          <w:i w:val="1"/>
          <w:iCs w:val="1"/>
          <w:sz w:val="22"/>
          <w:szCs w:val="22"/>
          <w:rtl w:val="0"/>
        </w:rPr>
        <w:t xml:space="preserve">CUP: </w:t>
      </w:r>
      <w:r w:rsidDel="00000000" w:rsidR="00000000" w:rsidRPr="00000000">
        <w:rPr>
          <w:b w:val="1"/>
          <w:bCs w:val="1"/>
          <w:i w:val="1"/>
          <w:iCs w:val="1"/>
          <w:sz w:val="22"/>
          <w:szCs w:val="22"/>
          <w:highlight w:val="white"/>
          <w:rtl w:val="0"/>
        </w:rPr>
        <w:t xml:space="preserve">F14D25001590007 </w:t>
      </w:r>
    </w:p>
    <w:p w:rsidR="00000000" w:rsidDel="00000000" w:rsidP="00000000" w:rsidRDefault="00000000" w:rsidRPr="00000000" w14:paraId="00000007">
      <w:pPr>
        <w:spacing w:before="12" w:lineRule="auto"/>
        <w:ind w:firstLine="0"/>
        <w:rPr>
          <w:b w:val="1"/>
          <w:bCs w:val="1"/>
          <w:i w:val="1"/>
          <w:iCs w:val="1"/>
          <w:sz w:val="22"/>
          <w:szCs w:val="22"/>
          <w:highlight w:val="white"/>
        </w:rPr>
      </w:pPr>
      <w:r w:rsidDel="00000000" w:rsidR="00000000" w:rsidRPr="00000000">
        <w:rPr>
          <w:b w:val="1"/>
          <w:bCs w:val="1"/>
          <w:i w:val="1"/>
          <w:iCs w:val="1"/>
          <w:smallCaps w:val="1"/>
          <w:sz w:val="22"/>
          <w:szCs w:val="22"/>
          <w:rtl w:val="0"/>
        </w:rPr>
        <w:t xml:space="preserve">CNP: ESO4.6.A4.A-FSEPN-PU-2025-538</w:t>
      </w:r>
      <w:r w:rsidDel="00000000" w:rsidR="00000000" w:rsidRPr="00000000">
        <w:rPr>
          <w:rtl w:val="0"/>
        </w:rPr>
      </w:r>
    </w:p>
    <w:p w:rsidR="00000000" w:rsidDel="00000000" w:rsidP="00000000" w:rsidRDefault="00000000" w:rsidRPr="00000000" w14:paraId="00000008">
      <w:pPr>
        <w:tabs>
          <w:tab w:val="left" w:leader="none" w:pos="1469"/>
        </w:tabs>
        <w:ind w:hanging="2"/>
        <w:jc w:val="both"/>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line="240" w:lineRule="auto"/>
        <w:ind w:left="0" w:hanging="2"/>
        <w:jc w:val="right"/>
        <w:rPr>
          <w:rFonts w:ascii="Calibri" w:cs="Calibri" w:eastAsia="Calibri" w:hAnsi="Calibri"/>
          <w:b w:val="1"/>
          <w:bCs w:val="1"/>
          <w:sz w:val="22"/>
          <w:szCs w:val="22"/>
        </w:rPr>
      </w:pPr>
      <w:bookmarkStart w:colFirst="0" w:colLast="0" w:name="_heading=h.ak7cgq3mk0ad" w:id="1"/>
      <w:bookmarkEnd w:id="1"/>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line="240" w:lineRule="auto"/>
        <w:ind w:left="0" w:hanging="2"/>
        <w:jc w:val="right"/>
        <w:rPr>
          <w:rFonts w:ascii="Calibri" w:cs="Calibri" w:eastAsia="Calibri" w:hAnsi="Calibri"/>
          <w:color w:val="000000"/>
          <w:sz w:val="24"/>
          <w:szCs w:val="24"/>
        </w:rPr>
      </w:pPr>
      <w:bookmarkStart w:colFirst="0" w:colLast="0" w:name="_heading=h.tyjcwt" w:id="2"/>
      <w:bookmarkEnd w:id="2"/>
      <w:r w:rsidDel="00000000" w:rsidR="00000000" w:rsidRPr="00000000">
        <w:rPr>
          <w:rFonts w:ascii="Calibri" w:cs="Calibri" w:eastAsia="Calibri" w:hAnsi="Calibri"/>
          <w:b w:val="1"/>
          <w:bCs w:val="1"/>
          <w:color w:val="000000"/>
          <w:sz w:val="24"/>
          <w:szCs w:val="24"/>
          <w:rtl w:val="0"/>
        </w:rPr>
        <w:tab/>
        <w:tab/>
        <w:tab/>
        <w:tab/>
        <w:tab/>
        <w:tab/>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line="360" w:lineRule="auto"/>
        <w:ind w:left="0" w:hanging="2"/>
        <w:rPr>
          <w:b w:val="1"/>
          <w:bCs w:val="1"/>
          <w:sz w:val="24"/>
          <w:szCs w:val="24"/>
        </w:rPr>
      </w:pPr>
      <w:r w:rsidDel="00000000" w:rsidR="00000000" w:rsidRPr="00000000">
        <w:rPr>
          <w:rFonts w:ascii="Cambria" w:cs="Cambria" w:eastAsia="Cambria" w:hAnsi="Cambria"/>
          <w:b w:val="1"/>
          <w:bCs w:val="1"/>
          <w:color w:val="000000"/>
          <w:sz w:val="22"/>
          <w:szCs w:val="22"/>
          <w:rtl w:val="0"/>
        </w:rPr>
        <w:t xml:space="preserve">Il/La sottoscritto/a _____________________________________ nato/a a _______________ il_________________ residente a______________________ Provincia di ___________________ Via/Piazza _______________________________________________ n. _________ Codice Fiscale ______________________________, individuato in  qualità di  personale ATA nel ruolo di  ___________________________________________ per il supporto al progetto </w:t>
      </w:r>
      <w:r w:rsidDel="00000000" w:rsidR="00000000" w:rsidRPr="00000000">
        <w:rPr>
          <w:b w:val="1"/>
          <w:bCs w:val="1"/>
          <w:sz w:val="24"/>
          <w:szCs w:val="24"/>
          <w:rtl w:val="0"/>
        </w:rPr>
        <w:t xml:space="preserve">Percorsi di orientamento - Orientati verso il futuro</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120" w:before="120" w:line="276" w:lineRule="auto"/>
        <w:ind w:left="0" w:hanging="2"/>
        <w:jc w:val="both"/>
        <w:rPr>
          <w:rFonts w:ascii="Cambria" w:cs="Cambria" w:eastAsia="Cambria" w:hAnsi="Cambria"/>
          <w:color w:val="000000"/>
          <w:sz w:val="22"/>
          <w:szCs w:val="22"/>
        </w:rPr>
      </w:pPr>
      <w:r w:rsidDel="00000000" w:rsidR="00000000" w:rsidRPr="00000000">
        <w:rPr>
          <w:rFonts w:ascii="Cambria" w:cs="Cambria" w:eastAsia="Cambria" w:hAnsi="Cambria"/>
          <w:b w:val="1"/>
          <w:bCs w:val="1"/>
          <w:color w:val="000000"/>
          <w:sz w:val="22"/>
          <w:szCs w:val="22"/>
          <w:rtl w:val="0"/>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120" w:before="120" w:line="240" w:lineRule="auto"/>
        <w:ind w:left="0" w:hanging="2"/>
        <w:jc w:val="center"/>
        <w:rPr>
          <w:rFonts w:ascii="Cambria" w:cs="Cambria" w:eastAsia="Cambria" w:hAnsi="Cambria"/>
          <w:color w:val="000000"/>
          <w:sz w:val="22"/>
          <w:szCs w:val="22"/>
        </w:rPr>
      </w:pPr>
      <w:r w:rsidDel="00000000" w:rsidR="00000000" w:rsidRPr="00000000">
        <w:rPr>
          <w:rFonts w:ascii="Cambria" w:cs="Cambria" w:eastAsia="Cambria" w:hAnsi="Cambria"/>
          <w:b w:val="1"/>
          <w:bCs w:val="1"/>
          <w:color w:val="000000"/>
          <w:sz w:val="22"/>
          <w:szCs w:val="22"/>
          <w:rtl w:val="0"/>
        </w:rPr>
        <w:t xml:space="preserve">DICHIARA</w:t>
      </w:r>
      <w:r w:rsidDel="00000000" w:rsidR="00000000" w:rsidRPr="00000000">
        <w:rPr>
          <w:rtl w:val="0"/>
        </w:rPr>
      </w:r>
    </w:p>
    <w:p w:rsidR="00000000" w:rsidDel="00000000" w:rsidP="00000000" w:rsidRDefault="00000000" w:rsidRPr="00000000" w14:paraId="0000000E">
      <w:pPr>
        <w:numPr>
          <w:ilvl w:val="0"/>
          <w:numId w:val="2"/>
        </w:numPr>
        <w:pBdr>
          <w:top w:space="0" w:sz="0" w:val="nil"/>
          <w:left w:space="0" w:sz="0" w:val="nil"/>
          <w:bottom w:space="0" w:sz="0" w:val="nil"/>
          <w:right w:space="0" w:sz="0" w:val="nil"/>
          <w:between w:space="0" w:sz="0" w:val="nil"/>
        </w:pBdr>
        <w:spacing w:before="120" w:line="276" w:lineRule="auto"/>
        <w:ind w:left="0" w:hanging="2"/>
        <w:jc w:val="both"/>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di non trovarsi in situazione di incompatibilità, ai sensi di quanto previsto dal d.lgs. n. 39/2013 e dall’art. 53, del d.lgs. n. 165/2001; </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276" w:lineRule="auto"/>
        <w:ind w:left="0" w:hanging="2"/>
        <w:jc w:val="both"/>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0">
      <w:pPr>
        <w:numPr>
          <w:ilvl w:val="0"/>
          <w:numId w:val="2"/>
        </w:numPr>
        <w:pBdr>
          <w:top w:space="0" w:sz="0" w:val="nil"/>
          <w:left w:space="0" w:sz="0" w:val="nil"/>
          <w:bottom w:space="0" w:sz="0" w:val="nil"/>
          <w:right w:space="0" w:sz="0" w:val="nil"/>
          <w:between w:space="0" w:sz="0" w:val="nil"/>
        </w:pBdr>
        <w:spacing w:line="276" w:lineRule="auto"/>
        <w:ind w:left="0" w:hanging="2"/>
        <w:jc w:val="both"/>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di non trovarsi in situazioni di conflitto di interessi, anche potenziale, ai sensi dell’art. 53, comma 14, del d.lgs. n. 165/2001, che possano interferire con l’esercizio dell’incarico;</w:t>
      </w:r>
    </w:p>
    <w:p w:rsidR="00000000" w:rsidDel="00000000" w:rsidP="00000000" w:rsidRDefault="00000000" w:rsidRPr="00000000" w14:paraId="00000011">
      <w:pPr>
        <w:numPr>
          <w:ilvl w:val="0"/>
          <w:numId w:val="2"/>
        </w:numPr>
        <w:pBdr>
          <w:top w:space="0" w:sz="0" w:val="nil"/>
          <w:left w:space="0" w:sz="0" w:val="nil"/>
          <w:bottom w:space="0" w:sz="0" w:val="nil"/>
          <w:right w:space="0" w:sz="0" w:val="nil"/>
          <w:between w:space="0" w:sz="0" w:val="nil"/>
        </w:pBdr>
        <w:spacing w:line="276" w:lineRule="auto"/>
        <w:ind w:left="0" w:hanging="2"/>
        <w:jc w:val="both"/>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2">
      <w:pPr>
        <w:numPr>
          <w:ilvl w:val="0"/>
          <w:numId w:val="2"/>
        </w:numPr>
        <w:pBdr>
          <w:top w:space="0" w:sz="0" w:val="nil"/>
          <w:left w:space="0" w:sz="0" w:val="nil"/>
          <w:bottom w:space="0" w:sz="0" w:val="nil"/>
          <w:right w:space="0" w:sz="0" w:val="nil"/>
          <w:between w:space="0" w:sz="0" w:val="nil"/>
        </w:pBdr>
        <w:spacing w:line="276" w:lineRule="auto"/>
        <w:ind w:left="0" w:hanging="2"/>
        <w:jc w:val="both"/>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spacing w:line="276" w:lineRule="auto"/>
        <w:ind w:left="0" w:hanging="2"/>
        <w:jc w:val="both"/>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di impegnarsi a comunicare tempestivamente all’Istituzione scolastica conferente eventuali variazioni che dovessero intervenire nel corso dello svolgimento dell’incarico;</w:t>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spacing w:line="276" w:lineRule="auto"/>
        <w:ind w:left="0" w:hanging="2"/>
        <w:jc w:val="both"/>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15">
      <w:pPr>
        <w:numPr>
          <w:ilvl w:val="0"/>
          <w:numId w:val="2"/>
        </w:numPr>
        <w:pBdr>
          <w:top w:space="0" w:sz="0" w:val="nil"/>
          <w:left w:space="0" w:sz="0" w:val="nil"/>
          <w:bottom w:space="0" w:sz="0" w:val="nil"/>
          <w:right w:space="0" w:sz="0" w:val="nil"/>
          <w:between w:space="0" w:sz="0" w:val="nil"/>
        </w:pBdr>
        <w:spacing w:line="276" w:lineRule="auto"/>
        <w:ind w:left="0" w:hanging="2"/>
        <w:jc w:val="both"/>
        <w:rPr>
          <w:rFonts w:ascii="Cambria" w:cs="Cambria" w:eastAsia="Cambria" w:hAnsi="Cambria"/>
          <w:color w:val="000000"/>
          <w:sz w:val="22"/>
          <w:szCs w:val="22"/>
        </w:rPr>
      </w:pPr>
      <w:r w:rsidDel="00000000" w:rsidR="00000000" w:rsidRPr="00000000">
        <w:rPr>
          <w:rFonts w:ascii="Cambria" w:cs="Cambria" w:eastAsia="Cambria" w:hAnsi="Cambria"/>
          <w:color w:val="000000"/>
          <w:sz w:val="22"/>
          <w:szCs w:val="22"/>
          <w:rtl w:val="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line="276" w:lineRule="auto"/>
        <w:ind w:left="0" w:hanging="2"/>
        <w:jc w:val="both"/>
        <w:rPr>
          <w:rFonts w:ascii="Cambria" w:cs="Cambria" w:eastAsia="Cambria" w:hAnsi="Cambria"/>
          <w:color w:val="000000"/>
          <w:sz w:val="22"/>
          <w:szCs w:val="22"/>
        </w:rPr>
      </w:pPr>
      <w:r w:rsidDel="00000000" w:rsidR="00000000" w:rsidRPr="00000000">
        <w:rPr>
          <w:rtl w:val="0"/>
        </w:rPr>
      </w:r>
    </w:p>
    <w:tbl>
      <w:tblPr>
        <w:tblStyle w:val="Table1"/>
        <w:tblW w:w="9628.0" w:type="dxa"/>
        <w:jc w:val="left"/>
        <w:tblInd w:w="-108.0" w:type="dxa"/>
        <w:tblLayout w:type="fixed"/>
        <w:tblLook w:val="0000"/>
      </w:tblPr>
      <w:tblGrid>
        <w:gridCol w:w="4814"/>
        <w:gridCol w:w="4814"/>
        <w:tblGridChange w:id="0">
          <w:tblGrid>
            <w:gridCol w:w="4814"/>
            <w:gridCol w:w="4814"/>
          </w:tblGrid>
        </w:tblGridChange>
      </w:tblGrid>
      <w:tr>
        <w:trPr>
          <w:cantSplit w:val="0"/>
          <w:tblHeader w:val="0"/>
        </w:trPr>
        <w:tc>
          <w:tcPr/>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after="120" w:before="120" w:line="276" w:lineRule="auto"/>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Luogo e data</w:t>
            </w:r>
          </w:p>
        </w:tc>
        <w:tc>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after="120" w:before="120" w:line="276" w:lineRule="auto"/>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Firma del Dichiarante</w:t>
            </w:r>
          </w:p>
        </w:tc>
      </w:tr>
      <w:tr>
        <w:trPr>
          <w:cantSplit w:val="0"/>
          <w:tblHeader w:val="0"/>
        </w:trPr>
        <w:tc>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after="120" w:before="120" w:line="276" w:lineRule="auto"/>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_______________, _______________________</w:t>
            </w:r>
          </w:p>
        </w:tc>
        <w:tc>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after="120" w:before="120" w:line="276" w:lineRule="auto"/>
              <w:ind w:left="0" w:hanging="2"/>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color w:val="000000"/>
                <w:sz w:val="22"/>
                <w:szCs w:val="22"/>
                <w:rtl w:val="0"/>
              </w:rPr>
              <w:t xml:space="preserve">______________________________________</w:t>
            </w:r>
          </w:p>
        </w:tc>
      </w:tr>
    </w:tbl>
    <w:p w:rsidR="00000000" w:rsidDel="00000000" w:rsidP="00000000" w:rsidRDefault="00000000" w:rsidRPr="00000000" w14:paraId="0000001B">
      <w:pPr>
        <w:pBdr>
          <w:top w:space="0" w:sz="0" w:val="nil"/>
          <w:left w:space="0" w:sz="0" w:val="nil"/>
          <w:bottom w:space="0" w:sz="0" w:val="nil"/>
          <w:right w:space="0" w:sz="0" w:val="nil"/>
          <w:between w:space="0" w:sz="0" w:val="nil"/>
        </w:pBdr>
        <w:spacing w:line="240" w:lineRule="auto"/>
        <w:ind w:left="0" w:hanging="2"/>
        <w:jc w:val="center"/>
        <w:rPr>
          <w:rFonts w:ascii="Calibri" w:cs="Calibri" w:eastAsia="Calibri" w:hAnsi="Calibri"/>
          <w:color w:val="000000"/>
          <w:sz w:val="24"/>
          <w:szCs w:val="24"/>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line="240" w:lineRule="auto"/>
        <w:ind w:left="0" w:hanging="2"/>
        <w:jc w:val="both"/>
        <w:rPr>
          <w:rFonts w:ascii="Calibri" w:cs="Calibri" w:eastAsia="Calibri" w:hAnsi="Calibri"/>
          <w:color w:val="000000"/>
          <w:sz w:val="22"/>
          <w:szCs w:val="22"/>
        </w:rPr>
      </w:pPr>
      <w:r w:rsidDel="00000000" w:rsidR="00000000" w:rsidRPr="00000000">
        <w:rPr>
          <w:rtl w:val="0"/>
        </w:rPr>
      </w:r>
    </w:p>
    <w:sectPr>
      <w:headerReference r:id="rId7" w:type="default"/>
      <w:pgSz w:h="15842" w:w="12242" w:orient="portrait"/>
      <w:pgMar w:bottom="1134" w:top="1417"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widowControl w:val="0"/>
      <w:numPr>
        <w:ilvl w:val="0"/>
        <w:numId w:val="1"/>
      </w:numPr>
      <w:tabs>
        <w:tab w:val="left" w:leader="none" w:pos="1733"/>
      </w:tabs>
      <w:ind w:right="284" w:firstLine="0"/>
      <w:jc w:val="both"/>
      <w:rPr>
        <w:sz w:val="16"/>
        <w:szCs w:val="16"/>
      </w:rPr>
    </w:pPr>
    <w:r w:rsidDel="00000000" w:rsidR="00000000" w:rsidRPr="00000000">
      <w:rPr>
        <w:sz w:val="16"/>
        <w:szCs w:val="16"/>
        <w:rtl w:val="0"/>
      </w:rPr>
      <w:t xml:space="preserve">Fondi Strutturali Europei – Programma Nazionale “Scuola e competenze” 2021-2027 – Fondo sociale  europeo  plus  (FSE+)  –  Priorità  1  –  Scuola  e  competenze  (FSE+),  Obiettivo  specifico ESO4.6  –  sotto-azione ESO4.6.A.4.A - Interventi di cui ai decreti n. 72 dell’11/04/2024 e n.96 del 22/5/2025  del Ministro dell’Istruzione e del Merito – Avviso Pubblico prot. n. 81652 del 23/05/2025 - Percorsi educativi e formativi per il potenziamento delle competenze, l’inclusione e la socialità nel periodo di sospensione estiva delle lezioni (c.d. Piano Estate)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-209548</wp:posOffset>
          </wp:positionH>
          <wp:positionV relativeFrom="paragraph">
            <wp:posOffset>-85723</wp:posOffset>
          </wp:positionV>
          <wp:extent cx="1206446" cy="504825"/>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
                  <a:srcRect b="13452" l="12162" r="14672" t="11579"/>
                  <a:stretch>
                    <a:fillRect/>
                  </a:stretch>
                </pic:blipFill>
                <pic:spPr>
                  <a:xfrm>
                    <a:off x="0" y="0"/>
                    <a:ext cx="1206446" cy="5048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-209548</wp:posOffset>
          </wp:positionH>
          <wp:positionV relativeFrom="paragraph">
            <wp:posOffset>-85723</wp:posOffset>
          </wp:positionV>
          <wp:extent cx="1313497" cy="566783"/>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13452" l="12162" r="14672" t="11579"/>
                  <a:stretch>
                    <a:fillRect/>
                  </a:stretch>
                </pic:blipFill>
                <pic:spPr>
                  <a:xfrm>
                    <a:off x="0" y="0"/>
                    <a:ext cx="1313497" cy="566783"/>
                  </a:xfrm>
                  <a:prstGeom prst="rect"/>
                  <a:ln/>
                </pic:spPr>
              </pic:pic>
            </a:graphicData>
          </a:graphic>
        </wp:anchor>
      </w:drawing>
    </w:r>
  </w:p>
  <w:p w:rsidR="00000000" w:rsidDel="00000000" w:rsidP="00000000" w:rsidRDefault="00000000" w:rsidRPr="00000000" w14:paraId="0000001E">
    <w:pPr>
      <w:tabs>
        <w:tab w:val="left" w:leader="none" w:pos="1469"/>
      </w:tabs>
      <w:ind w:hanging="2"/>
      <w:jc w:val="both"/>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819"/>
        <w:tab w:val="right" w:leader="none" w:pos="9638"/>
      </w:tabs>
      <w:spacing w:line="240" w:lineRule="auto"/>
      <w:ind w:left="0" w:hanging="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
      <w:lvlJc w:val="left"/>
      <w:pPr>
        <w:ind w:left="0" w:firstLine="0"/>
      </w:pPr>
      <w:rPr>
        <w:u w:val="none"/>
      </w:rPr>
    </w:lvl>
    <w:lvl w:ilvl="1">
      <w:start w:val="0"/>
      <w:numFmt w:val="decimal"/>
      <w:lvlText w:val=""/>
      <w:lvlJc w:val="left"/>
      <w:pPr>
        <w:ind w:left="0" w:firstLine="0"/>
      </w:pPr>
      <w:rPr>
        <w:u w:val="none"/>
      </w:rPr>
    </w:lvl>
    <w:lvl w:ilvl="2">
      <w:start w:val="0"/>
      <w:numFmt w:val="decimal"/>
      <w:lvlText w:val=""/>
      <w:lvlJc w:val="left"/>
      <w:pPr>
        <w:ind w:left="0" w:firstLine="0"/>
      </w:pPr>
      <w:rPr>
        <w:u w:val="none"/>
      </w:rPr>
    </w:lvl>
    <w:lvl w:ilvl="3">
      <w:start w:val="0"/>
      <w:numFmt w:val="decimal"/>
      <w:lvlText w:val=""/>
      <w:lvlJc w:val="left"/>
      <w:pPr>
        <w:ind w:left="0" w:firstLine="0"/>
      </w:pPr>
      <w:rPr>
        <w:u w:val="none"/>
      </w:rPr>
    </w:lvl>
    <w:lvl w:ilvl="4">
      <w:start w:val="0"/>
      <w:numFmt w:val="decimal"/>
      <w:lvlText w:val=""/>
      <w:lvlJc w:val="left"/>
      <w:pPr>
        <w:ind w:left="0" w:firstLine="0"/>
      </w:pPr>
      <w:rPr>
        <w:u w:val="none"/>
      </w:rPr>
    </w:lvl>
    <w:lvl w:ilvl="5">
      <w:start w:val="0"/>
      <w:numFmt w:val="decimal"/>
      <w:lvlText w:val=""/>
      <w:lvlJc w:val="left"/>
      <w:pPr>
        <w:ind w:left="0" w:firstLine="0"/>
      </w:pPr>
      <w:rPr>
        <w:u w:val="none"/>
      </w:rPr>
    </w:lvl>
    <w:lvl w:ilvl="6">
      <w:start w:val="0"/>
      <w:numFmt w:val="decimal"/>
      <w:lvlText w:val=""/>
      <w:lvlJc w:val="left"/>
      <w:pPr>
        <w:ind w:left="0" w:firstLine="0"/>
      </w:pPr>
      <w:rPr>
        <w:u w:val="none"/>
      </w:rPr>
    </w:lvl>
    <w:lvl w:ilvl="7">
      <w:start w:val="0"/>
      <w:numFmt w:val="decimal"/>
      <w:lvlText w:val=""/>
      <w:lvlJc w:val="left"/>
      <w:pPr>
        <w:ind w:left="0" w:firstLine="0"/>
      </w:pPr>
      <w:rPr>
        <w:u w:val="none"/>
      </w:rPr>
    </w:lvl>
    <w:lvl w:ilvl="8">
      <w:start w:val="0"/>
      <w:numFmt w:val="decimal"/>
      <w:lvlText w:val=""/>
      <w:lvlJc w:val="left"/>
      <w:pPr>
        <w:ind w:left="0" w:firstLine="0"/>
      </w:pPr>
      <w:rPr>
        <w:u w:val="none"/>
      </w:rPr>
    </w:lvl>
  </w:abstractNum>
  <w:abstractNum w:abstractNumId="2">
    <w:lvl w:ilvl="0">
      <w:start w:val="1"/>
      <w:numFmt w:val="bullet"/>
      <w:lvlText w:val=""/>
      <w:lvlJc w:val="left"/>
      <w:pPr>
        <w:ind w:left="720" w:hanging="360"/>
      </w:pPr>
      <w:rPr>
        <w:vertAlign w:val="baseline"/>
      </w:rPr>
    </w:lvl>
    <w:lvl w:ilvl="1">
      <w:start w:val="1"/>
      <w:numFmt w:val="bullet"/>
      <w:lvlText w:val=""/>
      <w:lvlJc w:val="left"/>
      <w:pPr>
        <w:ind w:left="1440" w:hanging="360"/>
      </w:pPr>
      <w:rPr>
        <w:vertAlign w:val="baseline"/>
      </w:rPr>
    </w:lvl>
    <w:lvl w:ilvl="2">
      <w:start w:val="1"/>
      <w:numFmt w:val="bullet"/>
      <w:lvlText w:val=""/>
      <w:lvlJc w:val="left"/>
      <w:pPr>
        <w:ind w:left="2160" w:hanging="180"/>
      </w:pPr>
      <w:rPr>
        <w:vertAlign w:val="baseline"/>
      </w:rPr>
    </w:lvl>
    <w:lvl w:ilvl="3">
      <w:start w:val="1"/>
      <w:numFmt w:val="bullet"/>
      <w:lvlText w:val=""/>
      <w:lvlJc w:val="left"/>
      <w:pPr>
        <w:ind w:left="2880" w:hanging="360"/>
      </w:pPr>
      <w:rPr>
        <w:vertAlign w:val="baseline"/>
      </w:rPr>
    </w:lvl>
    <w:lvl w:ilvl="4">
      <w:start w:val="1"/>
      <w:numFmt w:val="bullet"/>
      <w:lvlText w:val=""/>
      <w:lvlJc w:val="left"/>
      <w:pPr>
        <w:ind w:left="3600" w:hanging="360"/>
      </w:pPr>
      <w:rPr>
        <w:vertAlign w:val="baseline"/>
      </w:rPr>
    </w:lvl>
    <w:lvl w:ilvl="5">
      <w:start w:val="1"/>
      <w:numFmt w:val="bullet"/>
      <w:lvlText w:val=""/>
      <w:lvlJc w:val="left"/>
      <w:pPr>
        <w:ind w:left="4320" w:hanging="180"/>
      </w:pPr>
      <w:rPr>
        <w:vertAlign w:val="baseline"/>
      </w:rPr>
    </w:lvl>
    <w:lvl w:ilvl="6">
      <w:start w:val="1"/>
      <w:numFmt w:val="bullet"/>
      <w:lvlText w:val=""/>
      <w:lvlJc w:val="left"/>
      <w:pPr>
        <w:ind w:left="5040" w:hanging="360"/>
      </w:pPr>
      <w:rPr>
        <w:vertAlign w:val="baseline"/>
      </w:rPr>
    </w:lvl>
    <w:lvl w:ilvl="7">
      <w:start w:val="1"/>
      <w:numFmt w:val="bullet"/>
      <w:lvlText w:val=""/>
      <w:lvlJc w:val="left"/>
      <w:pPr>
        <w:ind w:left="5760" w:hanging="360"/>
      </w:pPr>
      <w:rPr>
        <w:vertAlign w:val="baseline"/>
      </w:rPr>
    </w:lvl>
    <w:lvl w:ilvl="8">
      <w:start w:val="1"/>
      <w:numFmt w:val="bullet"/>
      <w:lvlText w:val=""/>
      <w:lvlJc w:val="left"/>
      <w:pPr>
        <w:ind w:left="6480" w:hanging="180"/>
      </w:pPr>
      <w:rP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sz w:val="24"/>
      <w:szCs w:val="24"/>
    </w:rPr>
  </w:style>
  <w:style w:type="paragraph" w:styleId="Heading2">
    <w:name w:val="heading 2"/>
    <w:basedOn w:val="Normal"/>
    <w:next w:val="Normal"/>
    <w:pPr>
      <w:keepNext w:val="1"/>
      <w:jc w:val="both"/>
    </w:pPr>
    <w:rPr>
      <w:sz w:val="24"/>
      <w:szCs w:val="24"/>
    </w:rPr>
  </w:style>
  <w:style w:type="paragraph" w:styleId="Heading3">
    <w:name w:val="heading 3"/>
    <w:basedOn w:val="Normal"/>
    <w:next w:val="Normal"/>
    <w:pPr>
      <w:keepNext w:val="1"/>
      <w:jc w:val="center"/>
    </w:pPr>
    <w:rPr>
      <w:sz w:val="24"/>
      <w:szCs w:val="24"/>
    </w:rPr>
  </w:style>
  <w:style w:type="paragraph" w:styleId="Heading4">
    <w:name w:val="heading 4"/>
    <w:basedOn w:val="Normal"/>
    <w:next w:val="Normal"/>
    <w:pPr>
      <w:keepNext w:val="1"/>
      <w:widowControl w:val="0"/>
      <w:ind w:left="57" w:right="24"/>
    </w:pPr>
    <w:rPr>
      <w:sz w:val="24"/>
      <w:szCs w:val="24"/>
    </w:rPr>
  </w:style>
  <w:style w:type="paragraph" w:styleId="Heading5">
    <w:name w:val="heading 5"/>
    <w:basedOn w:val="Normal"/>
    <w:next w:val="Normal"/>
    <w:pPr>
      <w:keepNext w:val="1"/>
      <w:jc w:val="both"/>
    </w:pPr>
    <w:rPr>
      <w:b w:val="1"/>
      <w:bCs w:val="1"/>
      <w:sz w:val="22"/>
      <w:szCs w:val="22"/>
    </w:rPr>
  </w:style>
  <w:style w:type="paragraph" w:styleId="Heading6">
    <w:name w:val="heading 6"/>
    <w:basedOn w:val="Normal"/>
    <w:next w:val="Normal"/>
    <w:pPr>
      <w:keepNext w:val="1"/>
      <w:jc w:val="both"/>
    </w:pPr>
    <w:rPr>
      <w:b w:val="1"/>
      <w:bCs w:val="1"/>
      <w:sz w:val="24"/>
      <w:szCs w:val="24"/>
      <w:u w:val="single"/>
    </w:rPr>
  </w:style>
  <w:style w:type="paragraph" w:styleId="Title">
    <w:name w:val="Title"/>
    <w:basedOn w:val="Normal"/>
    <w:next w:val="Normal"/>
    <w:pPr>
      <w:jc w:val="center"/>
    </w:pPr>
    <w:rPr>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ind w:left="0" w:hanging="1"/>
    </w:pPr>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KNvZUArg7Fohai2X8jeCofZlMQ==">CgMxLjAyDmgubW9rYjlic3FqNHV3Mg5oLmFrN2NncTNtazBhZDIIaC50eWpjd3Q4AHIhMTEwR3lxS3ZRUXNRdzY1azB3ZF9nYWt4ekFvVUNrTDNN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